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A1" w:rsidRDefault="00216EA1" w:rsidP="00216EA1">
      <w:pPr>
        <w:pStyle w:val="Style1"/>
      </w:pPr>
      <w:bookmarkStart w:id="0" w:name="OLE_LINK27"/>
      <w:bookmarkStart w:id="1" w:name="OLE_LINK28"/>
      <w:bookmarkStart w:id="2" w:name="_Toc456168064"/>
      <w:r>
        <w:t>4.4—STUDENT TRANSFERS</w:t>
      </w:r>
      <w:bookmarkEnd w:id="0"/>
      <w:bookmarkEnd w:id="1"/>
      <w:bookmarkEnd w:id="2"/>
    </w:p>
    <w:p w:rsidR="00216EA1" w:rsidRDefault="00216EA1" w:rsidP="00216EA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216EA1" w:rsidRDefault="00216EA1" w:rsidP="00216EA1">
      <w:pPr>
        <w:ind w:right="-3"/>
        <w:rPr>
          <w:color w:val="auto"/>
        </w:rPr>
      </w:pPr>
      <w:r>
        <w:rPr>
          <w:color w:val="auto"/>
        </w:rPr>
        <w:t>The Little Rock School District shall review and accept or reject requests for transfers, both into and out of the district, on a case by case basis at the July</w:t>
      </w:r>
      <w:r w:rsidR="00F2684D">
        <w:rPr>
          <w:color w:val="auto"/>
        </w:rPr>
        <w:t xml:space="preserve">, </w:t>
      </w:r>
      <w:r w:rsidR="00F2684D">
        <w:rPr>
          <w:color w:val="FF0000"/>
        </w:rPr>
        <w:t>August</w:t>
      </w:r>
      <w:r>
        <w:rPr>
          <w:color w:val="auto"/>
        </w:rPr>
        <w:t xml:space="preserve"> and December regularly scheduled board meetings.</w:t>
      </w:r>
    </w:p>
    <w:p w:rsidR="00216EA1" w:rsidRDefault="00216EA1" w:rsidP="00216EA1">
      <w:pPr>
        <w:ind w:right="-3"/>
        <w:rPr>
          <w:color w:val="auto"/>
        </w:rPr>
      </w:pPr>
    </w:p>
    <w:p w:rsidR="00216EA1" w:rsidRDefault="00216EA1" w:rsidP="00216EA1">
      <w:pPr>
        <w:ind w:right="-3"/>
        <w:rPr>
          <w:color w:val="auto"/>
        </w:rPr>
      </w:pPr>
      <w:r>
        <w:rPr>
          <w:color w:val="auto"/>
        </w:rPr>
        <w:t xml:space="preserve">The District may reject a nonresident’s application for admission if its acceptance would necessitate the addition of staff or classrooms, exceed the capacity of a program, class, grade level, or school building, or cause the District to provide educational services not currently provided in the affected school. The District shall reject applications that would cause it to be out of compliance with applicable laws and regulations regarding desegregation. </w:t>
      </w:r>
    </w:p>
    <w:p w:rsidR="00216EA1" w:rsidRDefault="00216EA1" w:rsidP="00216EA1">
      <w:pPr>
        <w:ind w:right="-3"/>
        <w:rPr>
          <w:color w:val="auto"/>
        </w:rPr>
      </w:pPr>
    </w:p>
    <w:p w:rsidR="00216EA1" w:rsidRDefault="00216EA1" w:rsidP="00216EA1">
      <w:pPr>
        <w:ind w:right="-3"/>
        <w:rPr>
          <w:color w:val="auto"/>
        </w:rPr>
      </w:pPr>
      <w:r>
        <w:rPr>
          <w:color w:val="auto"/>
        </w:rPr>
        <w:t xml:space="preserve">Any student transferring from a school accredited by the Department of Education to a school in this district shall be placed into the same grade the student would have been in had the student remained at the former school. Any grades, course credits, and/or promotions received by a student while enrolled in the Division of Youth Services system of education shall be considered </w:t>
      </w:r>
      <w:bookmarkStart w:id="3" w:name="_GoBack"/>
      <w:bookmarkEnd w:id="3"/>
      <w:r>
        <w:rPr>
          <w:color w:val="auto"/>
        </w:rPr>
        <w:t>transferable in the same manner as those grades, course credits, and promotions from other accredited Arkansas public educational entities.</w:t>
      </w:r>
    </w:p>
    <w:p w:rsidR="00216EA1" w:rsidRDefault="00216EA1" w:rsidP="00216EA1">
      <w:pPr>
        <w:ind w:right="-3"/>
        <w:rPr>
          <w:color w:val="auto"/>
        </w:rPr>
      </w:pPr>
    </w:p>
    <w:p w:rsidR="00216EA1" w:rsidRDefault="00216EA1" w:rsidP="00216EA1">
      <w:pPr>
        <w:ind w:right="-3"/>
        <w:rPr>
          <w:color w:val="auto"/>
        </w:rPr>
      </w:pPr>
      <w:r>
        <w:rPr>
          <w:color w:val="auto"/>
        </w:rPr>
        <w:t>Any student transferring from home school or a school that is not accredited by the Department of Education to a District school shall be evaluated by District staff to determine the student’s appropriate grade placement.</w:t>
      </w:r>
    </w:p>
    <w:p w:rsidR="00216EA1" w:rsidRDefault="00216EA1" w:rsidP="00216EA1">
      <w:pPr>
        <w:ind w:right="-3"/>
        <w:rPr>
          <w:color w:val="auto"/>
        </w:rPr>
      </w:pPr>
    </w:p>
    <w:p w:rsidR="00216EA1" w:rsidRDefault="00216EA1" w:rsidP="00216EA1">
      <w:pPr>
        <w:ind w:right="-3"/>
        <w:rPr>
          <w:color w:val="auto"/>
        </w:rPr>
      </w:pPr>
      <w:r>
        <w:rPr>
          <w:color w:val="auto"/>
        </w:rPr>
        <w:t>The Board of Education reserves the right, after a hearing before the Board, not to allow any person who has been expelled from another district to enroll as a student until the time of the person’s expulsion has expired.</w:t>
      </w:r>
    </w:p>
    <w:p w:rsidR="00216EA1" w:rsidRDefault="00216EA1" w:rsidP="00216EA1">
      <w:pPr>
        <w:ind w:right="-3"/>
        <w:rPr>
          <w:color w:val="auto"/>
        </w:rPr>
      </w:pPr>
    </w:p>
    <w:p w:rsidR="00216EA1" w:rsidRDefault="00216EA1" w:rsidP="00216EA1">
      <w:pPr>
        <w:ind w:right="-3"/>
        <w:rPr>
          <w:color w:val="auto"/>
        </w:rPr>
      </w:pPr>
      <w:r>
        <w:t>Except as otherwise required or permitted by law, the responsibility for transportation of any nonresident</w:t>
      </w:r>
      <w:r>
        <w:rPr>
          <w:color w:val="auto"/>
        </w:rPr>
        <w:t xml:space="preserve"> student admitted to a school in this District shall be borne by the student or the student’s parents. The District and the resident district may enter into a written agreement with the student or student’s parents to provide transportation to or from the District, or both.</w:t>
      </w:r>
    </w:p>
    <w:p w:rsidR="00216EA1" w:rsidRDefault="00216EA1" w:rsidP="00216EA1">
      <w:pPr>
        <w:ind w:right="-3"/>
        <w:rPr>
          <w:color w:val="auto"/>
        </w:rPr>
      </w:pP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Student Legal Transfer Procedures:</w:t>
      </w:r>
    </w:p>
    <w:p w:rsidR="00216EA1" w:rsidRPr="00216EA1" w:rsidRDefault="00216EA1" w:rsidP="00216EA1">
      <w:pPr>
        <w:pStyle w:val="NormalWeb"/>
        <w:spacing w:before="0" w:beforeAutospacing="0" w:after="0" w:afterAutospacing="0"/>
        <w:textAlignment w:val="top"/>
        <w:rPr>
          <w:color w:val="FF0000"/>
        </w:rPr>
      </w:pPr>
      <w:r w:rsidRPr="00216EA1">
        <w:rPr>
          <w:color w:val="FF0000"/>
        </w:rPr>
        <w:t> </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Completion of a “Petition for Transfer of Students” form published by the Arkansas Department of Education;</w:t>
      </w:r>
    </w:p>
    <w:p w:rsidR="00216EA1" w:rsidRPr="00216EA1" w:rsidRDefault="00216EA1" w:rsidP="00216EA1">
      <w:pPr>
        <w:pStyle w:val="NormalWeb"/>
        <w:spacing w:before="0" w:beforeAutospacing="0" w:after="0" w:afterAutospacing="0"/>
        <w:textAlignment w:val="top"/>
        <w:rPr>
          <w:color w:val="FF0000"/>
        </w:rPr>
      </w:pPr>
      <w:r w:rsidRPr="00216EA1">
        <w:rPr>
          <w:color w:val="FF0000"/>
        </w:rPr>
        <w:t> </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 xml:space="preserve">Submission of the completed petition to the </w:t>
      </w:r>
      <w:r>
        <w:rPr>
          <w:color w:val="FF0000"/>
          <w:bdr w:val="none" w:sz="0" w:space="0" w:color="auto" w:frame="1"/>
        </w:rPr>
        <w:t>Senior</w:t>
      </w:r>
      <w:r w:rsidRPr="00216EA1">
        <w:rPr>
          <w:color w:val="FF0000"/>
          <w:bdr w:val="none" w:sz="0" w:space="0" w:color="auto" w:frame="1"/>
        </w:rPr>
        <w:t xml:space="preserve"> Director of Student Services at the Student </w:t>
      </w:r>
      <w:r>
        <w:rPr>
          <w:color w:val="FF0000"/>
          <w:bdr w:val="none" w:sz="0" w:space="0" w:color="auto" w:frame="1"/>
        </w:rPr>
        <w:t>Registration Office</w:t>
      </w:r>
      <w:r w:rsidRPr="00216EA1">
        <w:rPr>
          <w:color w:val="FF0000"/>
          <w:bdr w:val="none" w:sz="0" w:space="0" w:color="auto" w:frame="1"/>
        </w:rPr>
        <w:t xml:space="preserve"> (</w:t>
      </w:r>
      <w:r w:rsidR="00077911">
        <w:rPr>
          <w:color w:val="FF0000"/>
          <w:bdr w:val="none" w:sz="0" w:space="0" w:color="auto" w:frame="1"/>
        </w:rPr>
        <w:t>501 Sherman Street</w:t>
      </w:r>
      <w:r w:rsidRPr="00216EA1">
        <w:rPr>
          <w:color w:val="FF0000"/>
          <w:bdr w:val="none" w:sz="0" w:space="0" w:color="auto" w:frame="1"/>
        </w:rPr>
        <w:t xml:space="preserve">, </w:t>
      </w:r>
      <w:r w:rsidR="00077911">
        <w:rPr>
          <w:color w:val="FF0000"/>
          <w:bdr w:val="none" w:sz="0" w:space="0" w:color="auto" w:frame="1"/>
        </w:rPr>
        <w:t>Little Rock</w:t>
      </w:r>
      <w:r w:rsidRPr="00216EA1">
        <w:rPr>
          <w:color w:val="FF0000"/>
          <w:bdr w:val="none" w:sz="0" w:space="0" w:color="auto" w:frame="1"/>
        </w:rPr>
        <w:t>, AR 7</w:t>
      </w:r>
      <w:r w:rsidR="00077911">
        <w:rPr>
          <w:color w:val="FF0000"/>
          <w:bdr w:val="none" w:sz="0" w:space="0" w:color="auto" w:frame="1"/>
        </w:rPr>
        <w:t>2202</w:t>
      </w:r>
      <w:r w:rsidRPr="00216EA1">
        <w:rPr>
          <w:color w:val="FF0000"/>
          <w:bdr w:val="none" w:sz="0" w:space="0" w:color="auto" w:frame="1"/>
        </w:rPr>
        <w:t xml:space="preserve">), not later than the 1st </w:t>
      </w:r>
      <w:r w:rsidR="00077911">
        <w:rPr>
          <w:color w:val="FF0000"/>
          <w:bdr w:val="none" w:sz="0" w:space="0" w:color="auto" w:frame="1"/>
        </w:rPr>
        <w:t xml:space="preserve">day of the month (July </w:t>
      </w:r>
      <w:r w:rsidRPr="00216EA1">
        <w:rPr>
          <w:color w:val="FF0000"/>
          <w:bdr w:val="none" w:sz="0" w:space="0" w:color="auto" w:frame="1"/>
        </w:rPr>
        <w:t>or December) in which the transfer is requested to take place. The petition may be submitted via FAX, email, or in hard copy.</w:t>
      </w:r>
    </w:p>
    <w:p w:rsidR="00216EA1" w:rsidRPr="00216EA1" w:rsidRDefault="00216EA1" w:rsidP="00216EA1">
      <w:pPr>
        <w:pStyle w:val="NormalWeb"/>
        <w:spacing w:before="0" w:beforeAutospacing="0" w:after="0" w:afterAutospacing="0"/>
        <w:textAlignment w:val="top"/>
        <w:rPr>
          <w:color w:val="FF0000"/>
        </w:rPr>
      </w:pPr>
      <w:r w:rsidRPr="00216EA1">
        <w:rPr>
          <w:color w:val="FF0000"/>
        </w:rPr>
        <w:t> </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 xml:space="preserve">Review of the completed petition by the </w:t>
      </w:r>
      <w:r w:rsidR="00077911">
        <w:rPr>
          <w:color w:val="FF0000"/>
          <w:bdr w:val="none" w:sz="0" w:space="0" w:color="auto" w:frame="1"/>
        </w:rPr>
        <w:t>Senior</w:t>
      </w:r>
      <w:r w:rsidRPr="00216EA1">
        <w:rPr>
          <w:color w:val="FF0000"/>
          <w:bdr w:val="none" w:sz="0" w:space="0" w:color="auto" w:frame="1"/>
        </w:rPr>
        <w:t xml:space="preserve"> Director of Student Services.</w:t>
      </w:r>
    </w:p>
    <w:p w:rsidR="00216EA1" w:rsidRPr="00216EA1" w:rsidRDefault="00216EA1" w:rsidP="00216EA1">
      <w:pPr>
        <w:pStyle w:val="NormalWeb"/>
        <w:spacing w:before="0" w:beforeAutospacing="0" w:after="0" w:afterAutospacing="0"/>
        <w:textAlignment w:val="top"/>
        <w:rPr>
          <w:color w:val="FF0000"/>
        </w:rPr>
      </w:pPr>
      <w:r w:rsidRPr="00216EA1">
        <w:rPr>
          <w:color w:val="FF0000"/>
        </w:rPr>
        <w:t> </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 xml:space="preserve">Within five (5) days of reviewing the petition, notification by the </w:t>
      </w:r>
      <w:r w:rsidR="00077911">
        <w:rPr>
          <w:color w:val="FF0000"/>
          <w:bdr w:val="none" w:sz="0" w:space="0" w:color="auto" w:frame="1"/>
        </w:rPr>
        <w:t>Senior</w:t>
      </w:r>
      <w:r w:rsidRPr="00216EA1">
        <w:rPr>
          <w:color w:val="FF0000"/>
          <w:bdr w:val="none" w:sz="0" w:space="0" w:color="auto" w:frame="1"/>
        </w:rPr>
        <w:t xml:space="preserve"> Director of Student Services of the District’s decision. A denial of the petition by the </w:t>
      </w:r>
      <w:r w:rsidR="00077911">
        <w:rPr>
          <w:color w:val="FF0000"/>
          <w:bdr w:val="none" w:sz="0" w:space="0" w:color="auto" w:frame="1"/>
        </w:rPr>
        <w:t>Senior</w:t>
      </w:r>
      <w:r w:rsidRPr="00216EA1">
        <w:rPr>
          <w:color w:val="FF0000"/>
          <w:bdr w:val="none" w:sz="0" w:space="0" w:color="auto" w:frame="1"/>
        </w:rPr>
        <w:t xml:space="preserve"> Director of Student Services may be appealed to the Board.</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lastRenderedPageBreak/>
        <w:t xml:space="preserve">A written appeal request must be received by the Superintendent’s designee, the </w:t>
      </w:r>
      <w:r w:rsidR="00896486">
        <w:rPr>
          <w:color w:val="FF0000"/>
          <w:bdr w:val="none" w:sz="0" w:space="0" w:color="auto" w:frame="1"/>
        </w:rPr>
        <w:t>Senior</w:t>
      </w:r>
      <w:r w:rsidRPr="00216EA1">
        <w:rPr>
          <w:color w:val="FF0000"/>
          <w:bdr w:val="none" w:sz="0" w:space="0" w:color="auto" w:frame="1"/>
        </w:rPr>
        <w:t xml:space="preserve"> Director of Student Services, at least five (5) business days prior to the next regularly scheduled Board meeting.</w:t>
      </w:r>
    </w:p>
    <w:p w:rsidR="00216EA1" w:rsidRPr="00216EA1" w:rsidRDefault="00216EA1" w:rsidP="00216EA1">
      <w:pPr>
        <w:pStyle w:val="NormalWeb"/>
        <w:spacing w:before="0" w:beforeAutospacing="0" w:after="0" w:afterAutospacing="0"/>
        <w:textAlignment w:val="top"/>
        <w:rPr>
          <w:color w:val="FF0000"/>
        </w:rPr>
      </w:pPr>
      <w:r w:rsidRPr="00216EA1">
        <w:rPr>
          <w:color w:val="FF0000"/>
        </w:rPr>
        <w:t> </w:t>
      </w:r>
    </w:p>
    <w:p w:rsidR="00216EA1" w:rsidRPr="00216EA1" w:rsidRDefault="00216EA1" w:rsidP="00216EA1">
      <w:pPr>
        <w:pStyle w:val="NormalWeb"/>
        <w:spacing w:before="0" w:beforeAutospacing="0" w:after="0" w:afterAutospacing="0"/>
        <w:textAlignment w:val="top"/>
        <w:rPr>
          <w:color w:val="FF0000"/>
        </w:rPr>
      </w:pPr>
      <w:r w:rsidRPr="00216EA1">
        <w:rPr>
          <w:color w:val="FF0000"/>
          <w:bdr w:val="none" w:sz="0" w:space="0" w:color="auto" w:frame="1"/>
        </w:rPr>
        <w:t>If all the above conditions are met, the Board will hear the appeal.</w:t>
      </w:r>
    </w:p>
    <w:p w:rsidR="00216EA1" w:rsidRDefault="00216EA1" w:rsidP="00216EA1">
      <w:pPr>
        <w:ind w:right="-3"/>
        <w:rPr>
          <w:color w:val="auto"/>
        </w:rPr>
      </w:pPr>
    </w:p>
    <w:p w:rsidR="00216EA1" w:rsidRDefault="00216EA1" w:rsidP="00216EA1">
      <w:pPr>
        <w:ind w:right="-3"/>
        <w:rPr>
          <w:color w:val="auto"/>
        </w:rPr>
      </w:pPr>
      <w:r>
        <w:rPr>
          <w:color w:val="auto"/>
        </w:rPr>
        <w:t>Legal References:</w:t>
      </w:r>
      <w:r>
        <w:rPr>
          <w:color w:val="auto"/>
        </w:rPr>
        <w:tab/>
        <w:t>A.C.A. § 6-18-316</w:t>
      </w:r>
    </w:p>
    <w:p w:rsidR="00216EA1" w:rsidRDefault="00216EA1" w:rsidP="00216EA1">
      <w:pPr>
        <w:ind w:right="-3"/>
        <w:rPr>
          <w:color w:val="auto"/>
        </w:rPr>
      </w:pPr>
      <w:r>
        <w:rPr>
          <w:color w:val="auto"/>
        </w:rPr>
        <w:tab/>
      </w:r>
      <w:r>
        <w:rPr>
          <w:color w:val="auto"/>
        </w:rPr>
        <w:tab/>
        <w:t xml:space="preserve">              A.C.A. § 6-18-317</w:t>
      </w:r>
    </w:p>
    <w:p w:rsidR="00216EA1" w:rsidRDefault="00216EA1" w:rsidP="00216EA1">
      <w:pPr>
        <w:ind w:right="-3"/>
        <w:rPr>
          <w:color w:val="auto"/>
        </w:rPr>
      </w:pPr>
      <w:r>
        <w:rPr>
          <w:color w:val="auto"/>
        </w:rPr>
        <w:tab/>
      </w:r>
      <w:r>
        <w:rPr>
          <w:color w:val="auto"/>
        </w:rPr>
        <w:tab/>
        <w:t xml:space="preserve">              A.C.A. § 6-18-318</w:t>
      </w:r>
    </w:p>
    <w:p w:rsidR="00216EA1" w:rsidRDefault="00216EA1" w:rsidP="00216EA1">
      <w:pPr>
        <w:ind w:right="-3"/>
        <w:rPr>
          <w:color w:val="auto"/>
        </w:rPr>
      </w:pPr>
      <w:r>
        <w:rPr>
          <w:color w:val="auto"/>
        </w:rPr>
        <w:tab/>
      </w:r>
      <w:r>
        <w:rPr>
          <w:color w:val="auto"/>
        </w:rPr>
        <w:tab/>
        <w:t xml:space="preserve">              A.C.A. § 6-18-510</w:t>
      </w:r>
    </w:p>
    <w:p w:rsidR="00216EA1" w:rsidRDefault="00216EA1" w:rsidP="00216EA1">
      <w:pPr>
        <w:ind w:right="-3"/>
        <w:rPr>
          <w:color w:val="auto"/>
        </w:rPr>
      </w:pPr>
      <w:r>
        <w:rPr>
          <w:color w:val="auto"/>
        </w:rPr>
        <w:tab/>
      </w:r>
      <w:r>
        <w:rPr>
          <w:color w:val="auto"/>
        </w:rPr>
        <w:tab/>
      </w:r>
      <w:r>
        <w:rPr>
          <w:color w:val="auto"/>
        </w:rPr>
        <w:tab/>
        <w:t>A.C.A. § 6-15-504</w:t>
      </w:r>
    </w:p>
    <w:p w:rsidR="00216EA1" w:rsidRDefault="00216EA1" w:rsidP="00216EA1">
      <w:pPr>
        <w:ind w:right="-3"/>
      </w:pPr>
      <w:bookmarkStart w:id="4" w:name="OLE_LINK7"/>
      <w:r>
        <w:rPr>
          <w:color w:val="auto"/>
        </w:rPr>
        <w:tab/>
      </w:r>
      <w:r>
        <w:rPr>
          <w:color w:val="auto"/>
        </w:rPr>
        <w:tab/>
      </w:r>
      <w:r>
        <w:rPr>
          <w:color w:val="auto"/>
        </w:rPr>
        <w:tab/>
      </w:r>
      <w:r>
        <w:t xml:space="preserve">A.C.A. § 9-28-113(b)(4) </w:t>
      </w:r>
      <w:bookmarkEnd w:id="4"/>
    </w:p>
    <w:p w:rsidR="00216EA1" w:rsidRDefault="00216EA1" w:rsidP="00216EA1">
      <w:pPr>
        <w:ind w:right="-3"/>
        <w:rPr>
          <w:color w:val="auto"/>
        </w:rPr>
      </w:pPr>
      <w:r>
        <w:rPr>
          <w:color w:val="auto"/>
        </w:rPr>
        <w:tab/>
      </w:r>
      <w:r>
        <w:rPr>
          <w:color w:val="auto"/>
        </w:rPr>
        <w:tab/>
      </w:r>
      <w:r>
        <w:rPr>
          <w:color w:val="auto"/>
        </w:rPr>
        <w:tab/>
      </w:r>
      <w:bookmarkStart w:id="5" w:name="OLE_LINK29"/>
      <w:bookmarkStart w:id="6" w:name="OLE_LINK30"/>
      <w:r>
        <w:rPr>
          <w:color w:val="auto"/>
        </w:rPr>
        <w:t>A.C.A. § 9-28-205</w:t>
      </w:r>
      <w:bookmarkEnd w:id="5"/>
      <w:bookmarkEnd w:id="6"/>
    </w:p>
    <w:p w:rsidR="00216EA1" w:rsidRDefault="00216EA1" w:rsidP="00216EA1">
      <w:pPr>
        <w:ind w:left="1440" w:right="-3" w:firstLine="720"/>
        <w:rPr>
          <w:color w:val="auto"/>
        </w:rPr>
      </w:pPr>
      <w:r>
        <w:rPr>
          <w:color w:val="auto"/>
        </w:rPr>
        <w:t>State Board of Education Standards of Accreditation 12.05</w:t>
      </w:r>
      <w:r>
        <w:rPr>
          <w:color w:val="auto"/>
        </w:rPr>
        <w:tab/>
      </w:r>
    </w:p>
    <w:p w:rsidR="00216EA1" w:rsidRDefault="00216EA1" w:rsidP="00216EA1">
      <w:pPr>
        <w:ind w:right="-3"/>
        <w:rPr>
          <w:color w:val="auto"/>
        </w:rPr>
      </w:pPr>
    </w:p>
    <w:p w:rsidR="00216EA1" w:rsidRDefault="00216EA1" w:rsidP="00216EA1">
      <w:pPr>
        <w:ind w:right="-3"/>
        <w:rPr>
          <w:color w:val="auto"/>
        </w:rPr>
      </w:pPr>
    </w:p>
    <w:p w:rsidR="00216EA1" w:rsidRDefault="00216EA1" w:rsidP="00216EA1">
      <w:pPr>
        <w:ind w:right="-3"/>
        <w:rPr>
          <w:color w:val="auto"/>
        </w:rPr>
      </w:pPr>
      <w:r>
        <w:rPr>
          <w:color w:val="auto"/>
        </w:rPr>
        <w:t>Date Adopted:  August 24, 2017</w:t>
      </w:r>
    </w:p>
    <w:p w:rsidR="00DF13EC" w:rsidRDefault="00216EA1" w:rsidP="00896486">
      <w:pPr>
        <w:ind w:right="-3"/>
      </w:pPr>
      <w:r>
        <w:rPr>
          <w:color w:val="auto"/>
        </w:rPr>
        <w:t>Last Revised:</w:t>
      </w:r>
    </w:p>
    <w:sectPr w:rsidR="00DF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1"/>
    <w:rsid w:val="00077911"/>
    <w:rsid w:val="00216EA1"/>
    <w:rsid w:val="00896486"/>
    <w:rsid w:val="00DF13EC"/>
    <w:rsid w:val="00F2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B545"/>
  <w15:chartTrackingRefBased/>
  <w15:docId w15:val="{E35A6DB2-0A66-49EF-A065-97AC0821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A1"/>
    <w:pPr>
      <w:spacing w:after="0" w:line="240" w:lineRule="auto"/>
    </w:pPr>
    <w:rPr>
      <w:rFonts w:ascii="Times New Roman" w:eastAsia="Times" w:hAnsi="Times New Roman" w:cs="Times New Roman"/>
      <w:color w:val="000000"/>
      <w:spacing w:val="-8"/>
      <w:sz w:val="24"/>
      <w:szCs w:val="20"/>
    </w:rPr>
  </w:style>
  <w:style w:type="paragraph" w:styleId="Heading1">
    <w:name w:val="heading 1"/>
    <w:basedOn w:val="Normal"/>
    <w:next w:val="Normal"/>
    <w:link w:val="Heading1Char"/>
    <w:uiPriority w:val="9"/>
    <w:qFormat/>
    <w:rsid w:val="00216E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qFormat/>
    <w:rsid w:val="00216EA1"/>
    <w:pPr>
      <w:keepLines w:val="0"/>
      <w:spacing w:before="0"/>
    </w:pPr>
    <w:rPr>
      <w:rFonts w:ascii="Times New Roman" w:eastAsia="Times New Roman" w:hAnsi="Times New Roman" w:cs="Arial"/>
      <w:b/>
      <w:color w:val="auto"/>
      <w:kern w:val="28"/>
      <w:sz w:val="28"/>
    </w:rPr>
  </w:style>
  <w:style w:type="character" w:customStyle="1" w:styleId="Heading1Char">
    <w:name w:val="Heading 1 Char"/>
    <w:basedOn w:val="DefaultParagraphFont"/>
    <w:link w:val="Heading1"/>
    <w:uiPriority w:val="9"/>
    <w:rsid w:val="00216EA1"/>
    <w:rPr>
      <w:rFonts w:asciiTheme="majorHAnsi" w:eastAsiaTheme="majorEastAsia" w:hAnsiTheme="majorHAnsi" w:cstheme="majorBidi"/>
      <w:color w:val="2E74B5" w:themeColor="accent1" w:themeShade="BF"/>
      <w:spacing w:val="-8"/>
      <w:sz w:val="32"/>
      <w:szCs w:val="32"/>
    </w:rPr>
  </w:style>
  <w:style w:type="paragraph" w:styleId="NormalWeb">
    <w:name w:val="Normal (Web)"/>
    <w:basedOn w:val="Normal"/>
    <w:uiPriority w:val="99"/>
    <w:semiHidden/>
    <w:unhideWhenUsed/>
    <w:rsid w:val="00216EA1"/>
    <w:pPr>
      <w:spacing w:before="100" w:beforeAutospacing="1" w:after="100" w:afterAutospacing="1"/>
    </w:pPr>
    <w:rPr>
      <w:rFonts w:eastAsiaTheme="minorHAnsi"/>
      <w:color w:val="auto"/>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2</cp:revision>
  <dcterms:created xsi:type="dcterms:W3CDTF">2018-08-16T19:45:00Z</dcterms:created>
  <dcterms:modified xsi:type="dcterms:W3CDTF">2018-09-20T16:19:00Z</dcterms:modified>
</cp:coreProperties>
</file>